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B7" w:rsidRDefault="00DD67B7" w:rsidP="00DD67B7">
      <w:pPr>
        <w:rPr>
          <w:rFonts w:ascii="Arial" w:hAnsi="Arial" w:cs="Arial"/>
          <w:b/>
        </w:rPr>
      </w:pPr>
      <w:bookmarkStart w:id="0" w:name="_GoBack"/>
      <w:bookmarkEnd w:id="0"/>
    </w:p>
    <w:tbl>
      <w:tblPr>
        <w:tblStyle w:val="TableGrid"/>
        <w:tblW w:w="15446" w:type="dxa"/>
        <w:tblLook w:val="04A0" w:firstRow="1" w:lastRow="0" w:firstColumn="1" w:lastColumn="0" w:noHBand="0" w:noVBand="1"/>
      </w:tblPr>
      <w:tblGrid>
        <w:gridCol w:w="3681"/>
        <w:gridCol w:w="5528"/>
        <w:gridCol w:w="6237"/>
      </w:tblGrid>
      <w:tr w:rsidR="00AA2CE7" w:rsidRPr="000023CC" w:rsidTr="00AA2CE7">
        <w:trPr>
          <w:trHeight w:val="198"/>
          <w:tblHeader/>
        </w:trPr>
        <w:tc>
          <w:tcPr>
            <w:tcW w:w="3681" w:type="dxa"/>
            <w:shd w:val="clear" w:color="auto" w:fill="D0CECE" w:themeFill="background2" w:themeFillShade="E6"/>
          </w:tcPr>
          <w:p w:rsidR="00DD67B7" w:rsidRPr="000023CC" w:rsidRDefault="00DD67B7" w:rsidP="00DD67B7">
            <w:pPr>
              <w:spacing w:after="160" w:line="259" w:lineRule="auto"/>
              <w:jc w:val="center"/>
              <w:rPr>
                <w:rFonts w:ascii="Arial" w:hAnsi="Arial" w:cs="Arial"/>
                <w:b/>
              </w:rPr>
            </w:pPr>
            <w:r w:rsidRPr="000023CC">
              <w:rPr>
                <w:rFonts w:ascii="Arial" w:hAnsi="Arial" w:cs="Arial"/>
                <w:b/>
              </w:rPr>
              <w:t>Setting</w:t>
            </w:r>
            <w:r>
              <w:rPr>
                <w:rFonts w:ascii="Arial" w:hAnsi="Arial" w:cs="Arial"/>
                <w:b/>
              </w:rPr>
              <w:t>/pathway</w:t>
            </w:r>
          </w:p>
        </w:tc>
        <w:tc>
          <w:tcPr>
            <w:tcW w:w="5528" w:type="dxa"/>
            <w:shd w:val="clear" w:color="auto" w:fill="D0CECE" w:themeFill="background2" w:themeFillShade="E6"/>
          </w:tcPr>
          <w:p w:rsidR="00DD67B7" w:rsidRPr="000023CC" w:rsidRDefault="00DD67B7" w:rsidP="00DD67B7">
            <w:pPr>
              <w:spacing w:after="160" w:line="259" w:lineRule="auto"/>
              <w:jc w:val="center"/>
              <w:rPr>
                <w:rFonts w:ascii="Arial" w:hAnsi="Arial" w:cs="Arial"/>
                <w:b/>
              </w:rPr>
            </w:pPr>
            <w:r w:rsidRPr="000023CC">
              <w:rPr>
                <w:rFonts w:ascii="Arial" w:hAnsi="Arial" w:cs="Arial"/>
                <w:b/>
              </w:rPr>
              <w:t xml:space="preserve">Baseline </w:t>
            </w:r>
            <w:r>
              <w:rPr>
                <w:rFonts w:ascii="Arial" w:hAnsi="Arial" w:cs="Arial"/>
                <w:b/>
              </w:rPr>
              <w:t>t</w:t>
            </w:r>
            <w:r w:rsidRPr="000023CC">
              <w:rPr>
                <w:rFonts w:ascii="Arial" w:hAnsi="Arial" w:cs="Arial"/>
                <w:b/>
              </w:rPr>
              <w:t>esting</w:t>
            </w:r>
            <w:r>
              <w:rPr>
                <w:rFonts w:ascii="Arial" w:hAnsi="Arial" w:cs="Arial"/>
                <w:b/>
              </w:rPr>
              <w:t xml:space="preserve"> until 17</w:t>
            </w:r>
            <w:r w:rsidRPr="00DD67B7">
              <w:rPr>
                <w:rFonts w:ascii="Arial" w:hAnsi="Arial" w:cs="Arial"/>
                <w:b/>
                <w:vertAlign w:val="superscript"/>
              </w:rPr>
              <w:t>th</w:t>
            </w:r>
            <w:r>
              <w:rPr>
                <w:rFonts w:ascii="Arial" w:hAnsi="Arial" w:cs="Arial"/>
                <w:b/>
              </w:rPr>
              <w:t xml:space="preserve"> April</w:t>
            </w:r>
          </w:p>
        </w:tc>
        <w:tc>
          <w:tcPr>
            <w:tcW w:w="6237" w:type="dxa"/>
            <w:shd w:val="clear" w:color="auto" w:fill="D0CECE" w:themeFill="background2" w:themeFillShade="E6"/>
          </w:tcPr>
          <w:p w:rsidR="00DD67B7" w:rsidRPr="000023CC" w:rsidRDefault="00DD67B7" w:rsidP="00DD67B7">
            <w:pPr>
              <w:spacing w:after="160" w:line="259" w:lineRule="auto"/>
              <w:jc w:val="center"/>
              <w:rPr>
                <w:rFonts w:ascii="Arial" w:hAnsi="Arial" w:cs="Arial"/>
                <w:b/>
              </w:rPr>
            </w:pPr>
            <w:r w:rsidRPr="000023CC">
              <w:rPr>
                <w:rFonts w:ascii="Arial" w:hAnsi="Arial" w:cs="Arial"/>
                <w:b/>
              </w:rPr>
              <w:t>Pathway from</w:t>
            </w:r>
            <w:r>
              <w:rPr>
                <w:rFonts w:ascii="Arial" w:hAnsi="Arial" w:cs="Arial"/>
                <w:b/>
              </w:rPr>
              <w:t xml:space="preserve"> 17th</w:t>
            </w:r>
            <w:r w:rsidRPr="000023CC">
              <w:rPr>
                <w:rFonts w:ascii="Arial" w:hAnsi="Arial" w:cs="Arial"/>
                <w:b/>
              </w:rPr>
              <w:t xml:space="preserve"> April</w:t>
            </w:r>
            <w:r>
              <w:rPr>
                <w:rFonts w:ascii="Arial" w:hAnsi="Arial" w:cs="Arial"/>
                <w:b/>
              </w:rPr>
              <w:t xml:space="preserve"> and route</w:t>
            </w:r>
          </w:p>
        </w:tc>
      </w:tr>
      <w:tr w:rsidR="00DD67B7" w:rsidRPr="000023CC" w:rsidTr="00AA2CE7">
        <w:trPr>
          <w:trHeight w:val="318"/>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Adult care homes (staff)</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Twice weekly LFD and once weekly </w:t>
            </w:r>
            <w:proofErr w:type="spellStart"/>
            <w:r w:rsidRPr="008729C2">
              <w:rPr>
                <w:rFonts w:ascii="Arial" w:hAnsi="Arial" w:cs="Arial"/>
              </w:rPr>
              <w:t>PCR</w:t>
            </w:r>
            <w:proofErr w:type="spellEnd"/>
          </w:p>
        </w:tc>
        <w:tc>
          <w:tcPr>
            <w:tcW w:w="6237" w:type="dxa"/>
          </w:tcPr>
          <w:p w:rsidR="00DD67B7" w:rsidRPr="008729C2" w:rsidRDefault="00DD67B7" w:rsidP="00913A0F">
            <w:pPr>
              <w:spacing w:after="160" w:line="259" w:lineRule="auto"/>
              <w:rPr>
                <w:rFonts w:ascii="Arial" w:hAnsi="Arial" w:cs="Arial"/>
              </w:rPr>
            </w:pPr>
            <w:r>
              <w:rPr>
                <w:rFonts w:ascii="Arial" w:hAnsi="Arial" w:cs="Arial"/>
              </w:rPr>
              <w:t>No change (NSS)</w:t>
            </w:r>
          </w:p>
        </w:tc>
      </w:tr>
      <w:tr w:rsidR="00DD67B7" w:rsidRPr="000023CC" w:rsidTr="00AA2CE7">
        <w:trPr>
          <w:trHeight w:val="197"/>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Adult care home (visitors) </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LFD test before visiting</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No change </w:t>
            </w:r>
            <w:r>
              <w:rPr>
                <w:rFonts w:ascii="Arial" w:hAnsi="Arial" w:cs="Arial"/>
              </w:rPr>
              <w:t xml:space="preserve">(NSS) and LFD universal route. </w:t>
            </w:r>
          </w:p>
        </w:tc>
      </w:tr>
      <w:tr w:rsidR="00DD67B7" w:rsidRPr="000023CC" w:rsidTr="00AA2CE7">
        <w:trPr>
          <w:trHeight w:val="358"/>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Care at home </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Twice weekly LFD OR once weekly </w:t>
            </w:r>
            <w:proofErr w:type="spellStart"/>
            <w:r w:rsidRPr="008729C2">
              <w:rPr>
                <w:rFonts w:ascii="Arial" w:hAnsi="Arial" w:cs="Arial"/>
              </w:rPr>
              <w:t>PCR</w:t>
            </w:r>
            <w:proofErr w:type="spellEnd"/>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Twice weekly LFD </w:t>
            </w:r>
            <w:r>
              <w:rPr>
                <w:rFonts w:ascii="Arial" w:hAnsi="Arial" w:cs="Arial"/>
              </w:rPr>
              <w:t>(NSS direct or NSS via PPE hubs)</w:t>
            </w:r>
          </w:p>
        </w:tc>
      </w:tr>
      <w:tr w:rsidR="00DD67B7" w:rsidRPr="000023CC" w:rsidTr="00AA2CE7">
        <w:trPr>
          <w:trHeight w:val="536"/>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Adult day centre</w:t>
            </w:r>
            <w:r>
              <w:rPr>
                <w:rFonts w:ascii="Arial" w:hAnsi="Arial" w:cs="Arial"/>
              </w:rPr>
              <w:t>s</w:t>
            </w:r>
            <w:r w:rsidRPr="008729C2">
              <w:rPr>
                <w:rFonts w:ascii="Arial" w:hAnsi="Arial" w:cs="Arial"/>
              </w:rPr>
              <w:t xml:space="preserve"> </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No change </w:t>
            </w:r>
            <w:r>
              <w:rPr>
                <w:rFonts w:ascii="Arial" w:hAnsi="Arial" w:cs="Arial"/>
              </w:rPr>
              <w:t xml:space="preserve">(PPE hubs) </w:t>
            </w:r>
          </w:p>
        </w:tc>
      </w:tr>
      <w:tr w:rsidR="00DD67B7" w:rsidRPr="000023CC" w:rsidTr="00AA2CE7">
        <w:trPr>
          <w:trHeight w:val="237"/>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Unpaid carers </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No current formal testing pathway. LFD testing obtained via universal route. </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Twice weekly LFD </w:t>
            </w:r>
            <w:r>
              <w:rPr>
                <w:rFonts w:ascii="Arial" w:hAnsi="Arial" w:cs="Arial"/>
              </w:rPr>
              <w:t>(universal route)</w:t>
            </w:r>
          </w:p>
        </w:tc>
      </w:tr>
      <w:tr w:rsidR="00DD67B7" w:rsidRPr="000023CC" w:rsidTr="00AA2CE7">
        <w:trPr>
          <w:trHeight w:val="371"/>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Personal assistants </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r>
              <w:rPr>
                <w:rFonts w:ascii="Arial" w:hAnsi="Arial" w:cs="Arial"/>
              </w:rPr>
              <w:t xml:space="preserve"> (PPE hubs)</w:t>
            </w:r>
          </w:p>
        </w:tc>
      </w:tr>
      <w:tr w:rsidR="00DD67B7" w:rsidRPr="000023CC" w:rsidTr="00AA2CE7">
        <w:trPr>
          <w:trHeight w:val="239"/>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Learning disability </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Routine asymptomatic testing to end</w:t>
            </w:r>
            <w:r>
              <w:rPr>
                <w:rFonts w:ascii="Arial" w:hAnsi="Arial" w:cs="Arial"/>
              </w:rPr>
              <w:t xml:space="preserve"> unless providing care in a setting that would be deemed at risk or providing care and support for those deemed at risk. We will work with the sector to determine those staff who should continue to test. </w:t>
            </w:r>
          </w:p>
        </w:tc>
      </w:tr>
      <w:tr w:rsidR="00DD67B7" w:rsidRPr="000023CC" w:rsidTr="00AA2CE7">
        <w:trPr>
          <w:trHeight w:val="239"/>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Mental health</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p>
        </w:tc>
        <w:tc>
          <w:tcPr>
            <w:tcW w:w="6237" w:type="dxa"/>
          </w:tcPr>
          <w:p w:rsidR="00DD67B7" w:rsidRPr="008729C2" w:rsidRDefault="00DD67B7" w:rsidP="00DD67B7">
            <w:pPr>
              <w:spacing w:after="160" w:line="259" w:lineRule="auto"/>
              <w:rPr>
                <w:rFonts w:ascii="Arial" w:hAnsi="Arial" w:cs="Arial"/>
              </w:rPr>
            </w:pPr>
            <w:r w:rsidRPr="008729C2">
              <w:rPr>
                <w:rFonts w:ascii="Arial" w:hAnsi="Arial" w:cs="Arial"/>
              </w:rPr>
              <w:t>Routine asymptomatic testing to end</w:t>
            </w:r>
            <w:r>
              <w:rPr>
                <w:rFonts w:ascii="Arial" w:hAnsi="Arial" w:cs="Arial"/>
              </w:rPr>
              <w:t xml:space="preserve"> unless providing care in a setting that would be deemed at risk or providing care and support for those deemed at risk. We will work with the sector to determine those staff who should continue to test.</w:t>
            </w:r>
          </w:p>
        </w:tc>
      </w:tr>
      <w:tr w:rsidR="00DD67B7" w:rsidRPr="000023CC" w:rsidTr="00AA2CE7">
        <w:trPr>
          <w:trHeight w:val="77"/>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Social workers</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Routine asymptomatic testing to end</w:t>
            </w:r>
          </w:p>
        </w:tc>
      </w:tr>
      <w:tr w:rsidR="00DD67B7" w:rsidRPr="000023CC" w:rsidTr="00AA2CE7">
        <w:trPr>
          <w:trHeight w:val="239"/>
        </w:trPr>
        <w:tc>
          <w:tcPr>
            <w:tcW w:w="3681" w:type="dxa"/>
          </w:tcPr>
          <w:p w:rsidR="00DD67B7" w:rsidRPr="008729C2" w:rsidRDefault="00536081" w:rsidP="00913A0F">
            <w:pPr>
              <w:spacing w:after="160" w:line="259" w:lineRule="auto"/>
              <w:rPr>
                <w:rFonts w:ascii="Arial" w:hAnsi="Arial" w:cs="Arial"/>
              </w:rPr>
            </w:pPr>
            <w:r>
              <w:rPr>
                <w:rFonts w:ascii="Arial" w:hAnsi="Arial" w:cs="Arial"/>
              </w:rPr>
              <w:t>Independent living assessors/care inspectors</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Routine asymptomatic testing to end</w:t>
            </w:r>
          </w:p>
        </w:tc>
      </w:tr>
      <w:tr w:rsidR="00DD67B7" w:rsidRPr="000023CC" w:rsidTr="00AA2CE7">
        <w:trPr>
          <w:trHeight w:val="239"/>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Women’s shelters </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Twice weekly LFD</w:t>
            </w:r>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Routine asymptomatic testing to end</w:t>
            </w:r>
          </w:p>
        </w:tc>
      </w:tr>
      <w:tr w:rsidR="00DD67B7" w:rsidRPr="000023CC" w:rsidTr="00AA2CE7">
        <w:trPr>
          <w:trHeight w:val="239"/>
        </w:trPr>
        <w:tc>
          <w:tcPr>
            <w:tcW w:w="3681" w:type="dxa"/>
          </w:tcPr>
          <w:p w:rsidR="00DD67B7" w:rsidRPr="008729C2" w:rsidRDefault="00DD67B7" w:rsidP="00913A0F">
            <w:pPr>
              <w:spacing w:after="160" w:line="259" w:lineRule="auto"/>
              <w:rPr>
                <w:rFonts w:ascii="Arial" w:hAnsi="Arial" w:cs="Arial"/>
              </w:rPr>
            </w:pPr>
            <w:r w:rsidRPr="008729C2">
              <w:rPr>
                <w:rFonts w:ascii="Arial" w:hAnsi="Arial" w:cs="Arial"/>
              </w:rPr>
              <w:t>Addiction services</w:t>
            </w:r>
          </w:p>
        </w:tc>
        <w:tc>
          <w:tcPr>
            <w:tcW w:w="5528" w:type="dxa"/>
          </w:tcPr>
          <w:p w:rsidR="00DD67B7" w:rsidRPr="008729C2" w:rsidRDefault="00DD67B7" w:rsidP="00913A0F">
            <w:pPr>
              <w:spacing w:after="160" w:line="259" w:lineRule="auto"/>
              <w:rPr>
                <w:rFonts w:ascii="Arial" w:hAnsi="Arial" w:cs="Arial"/>
              </w:rPr>
            </w:pPr>
            <w:r w:rsidRPr="008729C2">
              <w:rPr>
                <w:rFonts w:ascii="Arial" w:hAnsi="Arial" w:cs="Arial"/>
              </w:rPr>
              <w:t xml:space="preserve">Once weekly </w:t>
            </w:r>
            <w:proofErr w:type="spellStart"/>
            <w:r w:rsidRPr="008729C2">
              <w:rPr>
                <w:rFonts w:ascii="Arial" w:hAnsi="Arial" w:cs="Arial"/>
              </w:rPr>
              <w:t>PCR</w:t>
            </w:r>
            <w:proofErr w:type="spellEnd"/>
          </w:p>
        </w:tc>
        <w:tc>
          <w:tcPr>
            <w:tcW w:w="6237" w:type="dxa"/>
          </w:tcPr>
          <w:p w:rsidR="00DD67B7" w:rsidRPr="008729C2" w:rsidRDefault="00DD67B7" w:rsidP="00913A0F">
            <w:pPr>
              <w:spacing w:after="160" w:line="259" w:lineRule="auto"/>
              <w:rPr>
                <w:rFonts w:ascii="Arial" w:hAnsi="Arial" w:cs="Arial"/>
              </w:rPr>
            </w:pPr>
            <w:r w:rsidRPr="008729C2">
              <w:rPr>
                <w:rFonts w:ascii="Arial" w:hAnsi="Arial" w:cs="Arial"/>
              </w:rPr>
              <w:t>Routine asymptomatic testing to end</w:t>
            </w:r>
          </w:p>
        </w:tc>
      </w:tr>
      <w:tr w:rsidR="00DD67B7" w:rsidTr="00AA2CE7">
        <w:trPr>
          <w:trHeight w:val="848"/>
        </w:trPr>
        <w:tc>
          <w:tcPr>
            <w:tcW w:w="3681" w:type="dxa"/>
          </w:tcPr>
          <w:p w:rsidR="00DD67B7" w:rsidRPr="008729C2" w:rsidRDefault="00DD67B7" w:rsidP="00913A0F">
            <w:pPr>
              <w:rPr>
                <w:rFonts w:ascii="Arial" w:hAnsi="Arial" w:cs="Arial"/>
              </w:rPr>
            </w:pPr>
            <w:r w:rsidRPr="008729C2">
              <w:rPr>
                <w:rFonts w:ascii="Arial" w:hAnsi="Arial" w:cs="Arial"/>
              </w:rPr>
              <w:t>Homelessness services</w:t>
            </w:r>
          </w:p>
        </w:tc>
        <w:tc>
          <w:tcPr>
            <w:tcW w:w="5528" w:type="dxa"/>
          </w:tcPr>
          <w:p w:rsidR="00DD67B7" w:rsidRPr="008729C2" w:rsidRDefault="00DD67B7" w:rsidP="00913A0F">
            <w:pPr>
              <w:rPr>
                <w:rFonts w:ascii="Arial" w:hAnsi="Arial" w:cs="Arial"/>
              </w:rPr>
            </w:pPr>
            <w:r w:rsidRPr="008729C2">
              <w:rPr>
                <w:rFonts w:ascii="Arial" w:hAnsi="Arial" w:cs="Arial"/>
              </w:rPr>
              <w:t xml:space="preserve">Once weekly </w:t>
            </w:r>
            <w:proofErr w:type="spellStart"/>
            <w:r w:rsidRPr="008729C2">
              <w:rPr>
                <w:rFonts w:ascii="Arial" w:hAnsi="Arial" w:cs="Arial"/>
              </w:rPr>
              <w:t>PCR</w:t>
            </w:r>
            <w:proofErr w:type="spellEnd"/>
          </w:p>
        </w:tc>
        <w:tc>
          <w:tcPr>
            <w:tcW w:w="6237" w:type="dxa"/>
          </w:tcPr>
          <w:p w:rsidR="008E3119" w:rsidRDefault="00DD67B7" w:rsidP="00913A0F">
            <w:pPr>
              <w:rPr>
                <w:rFonts w:ascii="Arial" w:hAnsi="Arial" w:cs="Arial"/>
              </w:rPr>
            </w:pPr>
            <w:r w:rsidRPr="008729C2">
              <w:rPr>
                <w:rFonts w:ascii="Arial" w:hAnsi="Arial" w:cs="Arial"/>
              </w:rPr>
              <w:t>Routine asymptomatic testing to end</w:t>
            </w:r>
          </w:p>
          <w:p w:rsidR="008E3119" w:rsidRPr="008729C2" w:rsidRDefault="008E3119" w:rsidP="00913A0F">
            <w:pPr>
              <w:rPr>
                <w:rFonts w:ascii="Arial" w:hAnsi="Arial" w:cs="Arial"/>
              </w:rPr>
            </w:pPr>
          </w:p>
        </w:tc>
      </w:tr>
      <w:tr w:rsidR="00DD67B7" w:rsidTr="00AA2CE7">
        <w:trPr>
          <w:trHeight w:val="848"/>
        </w:trPr>
        <w:tc>
          <w:tcPr>
            <w:tcW w:w="3681" w:type="dxa"/>
          </w:tcPr>
          <w:p w:rsidR="00DD67B7" w:rsidRPr="008729C2" w:rsidRDefault="00DD67B7" w:rsidP="00913A0F">
            <w:pPr>
              <w:rPr>
                <w:rFonts w:ascii="Arial" w:hAnsi="Arial" w:cs="Arial"/>
              </w:rPr>
            </w:pPr>
            <w:r w:rsidRPr="008729C2">
              <w:rPr>
                <w:rFonts w:ascii="Arial" w:hAnsi="Arial" w:cs="Arial"/>
              </w:rPr>
              <w:t>Residential accommodation for children</w:t>
            </w:r>
          </w:p>
        </w:tc>
        <w:tc>
          <w:tcPr>
            <w:tcW w:w="5528" w:type="dxa"/>
          </w:tcPr>
          <w:p w:rsidR="00DD67B7" w:rsidRPr="008729C2" w:rsidRDefault="00DD67B7" w:rsidP="00913A0F">
            <w:pPr>
              <w:rPr>
                <w:rFonts w:ascii="Arial" w:hAnsi="Arial" w:cs="Arial"/>
              </w:rPr>
            </w:pPr>
            <w:r w:rsidRPr="008729C2">
              <w:rPr>
                <w:rFonts w:ascii="Arial" w:hAnsi="Arial" w:cs="Arial"/>
              </w:rPr>
              <w:t xml:space="preserve">Once weekly </w:t>
            </w:r>
            <w:proofErr w:type="spellStart"/>
            <w:r w:rsidRPr="008729C2">
              <w:rPr>
                <w:rFonts w:ascii="Arial" w:hAnsi="Arial" w:cs="Arial"/>
              </w:rPr>
              <w:t>PCR</w:t>
            </w:r>
            <w:proofErr w:type="spellEnd"/>
          </w:p>
        </w:tc>
        <w:tc>
          <w:tcPr>
            <w:tcW w:w="6237" w:type="dxa"/>
          </w:tcPr>
          <w:p w:rsidR="00DD67B7" w:rsidRPr="008729C2" w:rsidRDefault="00DD67B7" w:rsidP="00913A0F">
            <w:pPr>
              <w:rPr>
                <w:rFonts w:ascii="Arial" w:hAnsi="Arial" w:cs="Arial"/>
              </w:rPr>
            </w:pPr>
            <w:r w:rsidRPr="008729C2">
              <w:rPr>
                <w:rFonts w:ascii="Arial" w:hAnsi="Arial" w:cs="Arial"/>
              </w:rPr>
              <w:t>Routine asymptomatic testing to end</w:t>
            </w:r>
          </w:p>
        </w:tc>
      </w:tr>
      <w:tr w:rsidR="00DD67B7" w:rsidTr="00AA2CE7">
        <w:trPr>
          <w:trHeight w:val="848"/>
        </w:trPr>
        <w:tc>
          <w:tcPr>
            <w:tcW w:w="3681" w:type="dxa"/>
          </w:tcPr>
          <w:p w:rsidR="00DD67B7" w:rsidRPr="008729C2" w:rsidRDefault="00DD67B7" w:rsidP="00913A0F">
            <w:pPr>
              <w:rPr>
                <w:rFonts w:ascii="Arial" w:hAnsi="Arial" w:cs="Arial"/>
              </w:rPr>
            </w:pPr>
            <w:r w:rsidRPr="008729C2">
              <w:rPr>
                <w:rFonts w:ascii="Arial" w:hAnsi="Arial" w:cs="Arial"/>
              </w:rPr>
              <w:lastRenderedPageBreak/>
              <w:t>Children and young people community settings</w:t>
            </w:r>
          </w:p>
          <w:p w:rsidR="00DD67B7" w:rsidRPr="008729C2" w:rsidRDefault="00DD67B7" w:rsidP="00913A0F">
            <w:pPr>
              <w:rPr>
                <w:rFonts w:ascii="Arial" w:hAnsi="Arial" w:cs="Arial"/>
              </w:rPr>
            </w:pPr>
          </w:p>
        </w:tc>
        <w:tc>
          <w:tcPr>
            <w:tcW w:w="5528" w:type="dxa"/>
          </w:tcPr>
          <w:p w:rsidR="00DD67B7" w:rsidRPr="008729C2" w:rsidRDefault="00DD67B7" w:rsidP="00913A0F">
            <w:pPr>
              <w:rPr>
                <w:rFonts w:ascii="Arial" w:hAnsi="Arial" w:cs="Arial"/>
              </w:rPr>
            </w:pPr>
            <w:r w:rsidRPr="008729C2">
              <w:rPr>
                <w:rFonts w:ascii="Arial" w:hAnsi="Arial" w:cs="Arial"/>
              </w:rPr>
              <w:t>Twice weekly LFD</w:t>
            </w:r>
          </w:p>
        </w:tc>
        <w:tc>
          <w:tcPr>
            <w:tcW w:w="6237" w:type="dxa"/>
          </w:tcPr>
          <w:p w:rsidR="00DD67B7" w:rsidRPr="008729C2" w:rsidRDefault="00DD67B7" w:rsidP="00913A0F">
            <w:pPr>
              <w:rPr>
                <w:rFonts w:ascii="Arial" w:hAnsi="Arial" w:cs="Arial"/>
              </w:rPr>
            </w:pPr>
            <w:r w:rsidRPr="008729C2">
              <w:rPr>
                <w:rFonts w:ascii="Arial" w:hAnsi="Arial" w:cs="Arial"/>
              </w:rPr>
              <w:t>Routine asymptomatic testing to end</w:t>
            </w:r>
          </w:p>
        </w:tc>
      </w:tr>
      <w:tr w:rsidR="00DD67B7" w:rsidTr="00AA2CE7">
        <w:trPr>
          <w:trHeight w:val="848"/>
        </w:trPr>
        <w:tc>
          <w:tcPr>
            <w:tcW w:w="3681" w:type="dxa"/>
          </w:tcPr>
          <w:p w:rsidR="00DD67B7" w:rsidRPr="008729C2" w:rsidRDefault="00DD67B7" w:rsidP="00913A0F">
            <w:pPr>
              <w:rPr>
                <w:rFonts w:ascii="Arial" w:hAnsi="Arial" w:cs="Arial"/>
              </w:rPr>
            </w:pPr>
            <w:r w:rsidRPr="008729C2">
              <w:rPr>
                <w:rFonts w:ascii="Arial" w:hAnsi="Arial" w:cs="Arial"/>
              </w:rPr>
              <w:t>Short break/respite settings</w:t>
            </w:r>
          </w:p>
        </w:tc>
        <w:tc>
          <w:tcPr>
            <w:tcW w:w="5528" w:type="dxa"/>
          </w:tcPr>
          <w:p w:rsidR="00DD67B7" w:rsidRPr="008729C2" w:rsidRDefault="00DD67B7" w:rsidP="00913A0F">
            <w:pPr>
              <w:rPr>
                <w:rFonts w:ascii="Arial" w:hAnsi="Arial" w:cs="Arial"/>
              </w:rPr>
            </w:pPr>
            <w:r w:rsidRPr="008729C2">
              <w:rPr>
                <w:rFonts w:ascii="Arial" w:hAnsi="Arial" w:cs="Arial"/>
              </w:rPr>
              <w:t>Twice weekly LFD</w:t>
            </w:r>
          </w:p>
        </w:tc>
        <w:tc>
          <w:tcPr>
            <w:tcW w:w="6237" w:type="dxa"/>
          </w:tcPr>
          <w:p w:rsidR="00DD67B7" w:rsidRPr="008729C2" w:rsidRDefault="00DD67B7" w:rsidP="00913A0F">
            <w:pPr>
              <w:rPr>
                <w:rFonts w:ascii="Arial" w:hAnsi="Arial" w:cs="Arial"/>
              </w:rPr>
            </w:pPr>
            <w:r w:rsidRPr="008729C2">
              <w:rPr>
                <w:rFonts w:ascii="Arial" w:hAnsi="Arial" w:cs="Arial"/>
              </w:rPr>
              <w:t>Continue if staff support a number of elderly for live in care</w:t>
            </w:r>
            <w:r>
              <w:rPr>
                <w:rFonts w:ascii="Arial" w:hAnsi="Arial" w:cs="Arial"/>
              </w:rPr>
              <w:t xml:space="preserve"> or otherwise agreed to be at high risk</w:t>
            </w:r>
            <w:r w:rsidRPr="008729C2">
              <w:rPr>
                <w:rFonts w:ascii="Arial" w:hAnsi="Arial" w:cs="Arial"/>
              </w:rPr>
              <w:t>.</w:t>
            </w:r>
            <w:r>
              <w:rPr>
                <w:rFonts w:ascii="Arial" w:hAnsi="Arial" w:cs="Arial"/>
              </w:rPr>
              <w:t xml:space="preserve"> (NSS)</w:t>
            </w:r>
          </w:p>
          <w:p w:rsidR="00DD67B7" w:rsidRPr="008729C2" w:rsidRDefault="00DD67B7" w:rsidP="00913A0F">
            <w:pPr>
              <w:rPr>
                <w:rFonts w:ascii="Arial" w:hAnsi="Arial" w:cs="Arial"/>
              </w:rPr>
            </w:pPr>
          </w:p>
        </w:tc>
      </w:tr>
      <w:tr w:rsidR="00DD67B7" w:rsidTr="00AA2CE7">
        <w:trPr>
          <w:trHeight w:val="286"/>
        </w:trPr>
        <w:tc>
          <w:tcPr>
            <w:tcW w:w="3681" w:type="dxa"/>
          </w:tcPr>
          <w:p w:rsidR="00DD67B7" w:rsidRPr="008729C2" w:rsidRDefault="00DD67B7" w:rsidP="00913A0F">
            <w:pPr>
              <w:rPr>
                <w:rFonts w:ascii="Arial" w:hAnsi="Arial" w:cs="Arial"/>
              </w:rPr>
            </w:pPr>
            <w:r w:rsidRPr="008729C2">
              <w:rPr>
                <w:rFonts w:ascii="Arial" w:hAnsi="Arial" w:cs="Arial"/>
              </w:rPr>
              <w:t>Residential rehab (staff)</w:t>
            </w:r>
          </w:p>
        </w:tc>
        <w:tc>
          <w:tcPr>
            <w:tcW w:w="5528" w:type="dxa"/>
          </w:tcPr>
          <w:p w:rsidR="00DD67B7" w:rsidRPr="008729C2" w:rsidRDefault="00AA2CE7" w:rsidP="00913A0F">
            <w:pPr>
              <w:rPr>
                <w:rFonts w:ascii="Arial" w:hAnsi="Arial" w:cs="Arial"/>
              </w:rPr>
            </w:pPr>
            <w:r>
              <w:rPr>
                <w:rFonts w:ascii="Arial" w:hAnsi="Arial" w:cs="Arial"/>
              </w:rPr>
              <w:t>T</w:t>
            </w:r>
            <w:r w:rsidR="00DD67B7" w:rsidRPr="008729C2">
              <w:rPr>
                <w:rFonts w:ascii="Arial" w:hAnsi="Arial" w:cs="Arial"/>
              </w:rPr>
              <w:t>wice weekly LFD</w:t>
            </w:r>
          </w:p>
        </w:tc>
        <w:tc>
          <w:tcPr>
            <w:tcW w:w="6237" w:type="dxa"/>
          </w:tcPr>
          <w:p w:rsidR="00DD67B7" w:rsidRPr="008729C2" w:rsidRDefault="00DD67B7" w:rsidP="00913A0F">
            <w:pPr>
              <w:rPr>
                <w:rFonts w:ascii="Arial" w:hAnsi="Arial" w:cs="Arial"/>
              </w:rPr>
            </w:pPr>
            <w:r w:rsidRPr="008729C2">
              <w:rPr>
                <w:rFonts w:ascii="Arial" w:hAnsi="Arial" w:cs="Arial"/>
              </w:rPr>
              <w:t>Continues for staff if they are providing care and support for elderly or otherwise agreed to be at high risk.</w:t>
            </w:r>
            <w:r>
              <w:rPr>
                <w:rFonts w:ascii="Arial" w:hAnsi="Arial" w:cs="Arial"/>
              </w:rPr>
              <w:t xml:space="preserve"> (NSS)</w:t>
            </w:r>
          </w:p>
        </w:tc>
      </w:tr>
      <w:tr w:rsidR="00DD67B7" w:rsidTr="00AA2CE7">
        <w:trPr>
          <w:trHeight w:val="848"/>
        </w:trPr>
        <w:tc>
          <w:tcPr>
            <w:tcW w:w="3681" w:type="dxa"/>
          </w:tcPr>
          <w:p w:rsidR="00DD67B7" w:rsidRPr="008729C2" w:rsidRDefault="00DD67B7" w:rsidP="00913A0F">
            <w:pPr>
              <w:rPr>
                <w:rFonts w:ascii="Arial" w:hAnsi="Arial" w:cs="Arial"/>
              </w:rPr>
            </w:pPr>
            <w:r w:rsidRPr="008729C2">
              <w:rPr>
                <w:rFonts w:ascii="Arial" w:hAnsi="Arial" w:cs="Arial"/>
              </w:rPr>
              <w:t xml:space="preserve">Sheltered housing/housing with multiple occupancy </w:t>
            </w:r>
          </w:p>
        </w:tc>
        <w:tc>
          <w:tcPr>
            <w:tcW w:w="5528" w:type="dxa"/>
          </w:tcPr>
          <w:p w:rsidR="00DD67B7" w:rsidRPr="008729C2" w:rsidRDefault="00DD67B7" w:rsidP="00913A0F">
            <w:pPr>
              <w:rPr>
                <w:rFonts w:ascii="Arial" w:hAnsi="Arial" w:cs="Arial"/>
              </w:rPr>
            </w:pPr>
            <w:r w:rsidRPr="008729C2">
              <w:rPr>
                <w:rFonts w:ascii="Arial" w:hAnsi="Arial" w:cs="Arial"/>
              </w:rPr>
              <w:t>Twice weekly LFD</w:t>
            </w:r>
          </w:p>
        </w:tc>
        <w:tc>
          <w:tcPr>
            <w:tcW w:w="6237" w:type="dxa"/>
          </w:tcPr>
          <w:p w:rsidR="00DD67B7" w:rsidRPr="008729C2" w:rsidRDefault="00DD67B7" w:rsidP="00913A0F">
            <w:pPr>
              <w:rPr>
                <w:rFonts w:ascii="Arial" w:hAnsi="Arial" w:cs="Arial"/>
              </w:rPr>
            </w:pPr>
            <w:r w:rsidRPr="008729C2">
              <w:rPr>
                <w:rFonts w:ascii="Arial" w:hAnsi="Arial" w:cs="Arial"/>
              </w:rPr>
              <w:t>Continue only if staff provide personal care and support to multiple older individuals.</w:t>
            </w:r>
            <w:r>
              <w:rPr>
                <w:rFonts w:ascii="Arial" w:hAnsi="Arial" w:cs="Arial"/>
              </w:rPr>
              <w:t xml:space="preserve"> (NSS)</w:t>
            </w:r>
          </w:p>
        </w:tc>
      </w:tr>
    </w:tbl>
    <w:p w:rsidR="00DD67B7" w:rsidRDefault="00DD67B7"/>
    <w:p w:rsidR="00536081" w:rsidRPr="00536081" w:rsidRDefault="00536081">
      <w:pPr>
        <w:rPr>
          <w:rFonts w:ascii="Arial" w:hAnsi="Arial" w:cs="Arial"/>
          <w:b/>
          <w:sz w:val="24"/>
          <w:szCs w:val="24"/>
          <w:u w:val="single"/>
        </w:rPr>
      </w:pPr>
      <w:r w:rsidRPr="00536081">
        <w:rPr>
          <w:rFonts w:ascii="Arial" w:hAnsi="Arial" w:cs="Arial"/>
          <w:b/>
          <w:sz w:val="24"/>
          <w:szCs w:val="24"/>
          <w:u w:val="single"/>
        </w:rPr>
        <w:t>Symptomatic staff</w:t>
      </w:r>
    </w:p>
    <w:p w:rsidR="00536081" w:rsidRDefault="00AA2CE7">
      <w:pPr>
        <w:rPr>
          <w:rStyle w:val="Hyperlink"/>
          <w:rFonts w:ascii="Arial" w:hAnsi="Arial" w:cs="Arial"/>
          <w:sz w:val="24"/>
          <w:szCs w:val="24"/>
        </w:rPr>
      </w:pPr>
      <w:r w:rsidRPr="00AA2CE7">
        <w:rPr>
          <w:rFonts w:ascii="Arial" w:hAnsi="Arial" w:cs="Arial"/>
          <w:sz w:val="24"/>
          <w:szCs w:val="24"/>
        </w:rPr>
        <w:t xml:space="preserve">Symptomatic staff </w:t>
      </w:r>
      <w:r>
        <w:rPr>
          <w:rFonts w:ascii="Arial" w:hAnsi="Arial" w:cs="Arial"/>
          <w:sz w:val="24"/>
          <w:szCs w:val="24"/>
        </w:rPr>
        <w:t>(in line with the population) should</w:t>
      </w:r>
      <w:r w:rsidR="00536081">
        <w:rPr>
          <w:rFonts w:ascii="Arial" w:hAnsi="Arial" w:cs="Arial"/>
          <w:sz w:val="24"/>
          <w:szCs w:val="24"/>
        </w:rPr>
        <w:t xml:space="preserve"> continue to</w:t>
      </w:r>
      <w:r>
        <w:rPr>
          <w:rFonts w:ascii="Arial" w:hAnsi="Arial" w:cs="Arial"/>
          <w:sz w:val="24"/>
          <w:szCs w:val="24"/>
        </w:rPr>
        <w:t xml:space="preserve"> isolate and book a </w:t>
      </w:r>
      <w:proofErr w:type="spellStart"/>
      <w:r>
        <w:rPr>
          <w:rFonts w:ascii="Arial" w:hAnsi="Arial" w:cs="Arial"/>
          <w:sz w:val="24"/>
          <w:szCs w:val="24"/>
        </w:rPr>
        <w:t>PCR</w:t>
      </w:r>
      <w:proofErr w:type="spellEnd"/>
      <w:r>
        <w:rPr>
          <w:rFonts w:ascii="Arial" w:hAnsi="Arial" w:cs="Arial"/>
          <w:sz w:val="24"/>
          <w:szCs w:val="24"/>
        </w:rPr>
        <w:t xml:space="preserve"> test </w:t>
      </w:r>
      <w:hyperlink r:id="rId6" w:history="1">
        <w:r w:rsidRPr="00AA2CE7">
          <w:rPr>
            <w:rStyle w:val="Hyperlink"/>
            <w:rFonts w:ascii="Arial" w:hAnsi="Arial" w:cs="Arial"/>
            <w:sz w:val="24"/>
            <w:szCs w:val="24"/>
          </w:rPr>
          <w:t xml:space="preserve">Coronavirus (COVID-19): Get a </w:t>
        </w:r>
        <w:proofErr w:type="spellStart"/>
        <w:r w:rsidRPr="00AA2CE7">
          <w:rPr>
            <w:rStyle w:val="Hyperlink"/>
            <w:rFonts w:ascii="Arial" w:hAnsi="Arial" w:cs="Arial"/>
            <w:sz w:val="24"/>
            <w:szCs w:val="24"/>
          </w:rPr>
          <w:t>PCR</w:t>
        </w:r>
        <w:proofErr w:type="spellEnd"/>
        <w:r w:rsidRPr="00AA2CE7">
          <w:rPr>
            <w:rStyle w:val="Hyperlink"/>
            <w:rFonts w:ascii="Arial" w:hAnsi="Arial" w:cs="Arial"/>
            <w:sz w:val="24"/>
            <w:szCs w:val="24"/>
          </w:rPr>
          <w:t xml:space="preserve"> test if you have symptoms | NHS inform</w:t>
        </w:r>
      </w:hyperlink>
    </w:p>
    <w:p w:rsidR="00536081" w:rsidRDefault="00536081" w:rsidP="00536081">
      <w:pPr>
        <w:rPr>
          <w:rFonts w:ascii="Arial" w:hAnsi="Arial" w:cs="Arial"/>
          <w:b/>
          <w:sz w:val="24"/>
          <w:szCs w:val="24"/>
          <w:u w:val="single"/>
        </w:rPr>
      </w:pPr>
      <w:r>
        <w:rPr>
          <w:rFonts w:ascii="Arial" w:hAnsi="Arial" w:cs="Arial"/>
          <w:b/>
          <w:sz w:val="24"/>
          <w:szCs w:val="24"/>
          <w:u w:val="single"/>
        </w:rPr>
        <w:t>Self-</w:t>
      </w:r>
      <w:r w:rsidRPr="00536081">
        <w:rPr>
          <w:rFonts w:ascii="Arial" w:hAnsi="Arial" w:cs="Arial"/>
          <w:b/>
          <w:sz w:val="24"/>
          <w:szCs w:val="24"/>
          <w:u w:val="single"/>
        </w:rPr>
        <w:t>isolation</w:t>
      </w:r>
    </w:p>
    <w:p w:rsidR="00536081" w:rsidRDefault="00536081" w:rsidP="00536081">
      <w:pPr>
        <w:rPr>
          <w:rFonts w:ascii="Arial" w:hAnsi="Arial" w:cs="Arial"/>
          <w:sz w:val="24"/>
          <w:szCs w:val="24"/>
        </w:rPr>
      </w:pPr>
      <w:r>
        <w:rPr>
          <w:rFonts w:ascii="Arial" w:hAnsi="Arial" w:cs="Arial"/>
          <w:sz w:val="24"/>
          <w:szCs w:val="24"/>
        </w:rPr>
        <w:t xml:space="preserve">Isolation guidance remains in place for social care (and health staff) - </w:t>
      </w:r>
      <w:hyperlink r:id="rId7" w:history="1">
        <w:r w:rsidRPr="00536081">
          <w:rPr>
            <w:rFonts w:ascii="Arial" w:hAnsi="Arial" w:cs="Arial"/>
            <w:color w:val="0000FF"/>
            <w:sz w:val="24"/>
            <w:szCs w:val="24"/>
            <w:u w:val="single"/>
          </w:rPr>
          <w:t>First Tier (scot.nhs.uk)</w:t>
        </w:r>
      </w:hyperlink>
    </w:p>
    <w:p w:rsidR="008E3119" w:rsidRDefault="008E3119" w:rsidP="00536081">
      <w:pPr>
        <w:rPr>
          <w:rFonts w:ascii="Arial" w:hAnsi="Arial" w:cs="Arial"/>
          <w:b/>
          <w:sz w:val="24"/>
          <w:szCs w:val="24"/>
          <w:u w:val="single"/>
        </w:rPr>
      </w:pPr>
      <w:r w:rsidRPr="008E3119">
        <w:rPr>
          <w:rFonts w:ascii="Arial" w:hAnsi="Arial" w:cs="Arial"/>
          <w:b/>
          <w:sz w:val="24"/>
          <w:szCs w:val="24"/>
          <w:u w:val="single"/>
        </w:rPr>
        <w:t xml:space="preserve">Wellbeing </w:t>
      </w:r>
    </w:p>
    <w:p w:rsidR="008E3119" w:rsidRPr="008E3119" w:rsidRDefault="00D962D4" w:rsidP="00536081">
      <w:pPr>
        <w:rPr>
          <w:rFonts w:ascii="Arial" w:hAnsi="Arial" w:cs="Arial"/>
          <w:b/>
          <w:sz w:val="24"/>
          <w:szCs w:val="24"/>
          <w:u w:val="single"/>
        </w:rPr>
      </w:pPr>
      <w:hyperlink r:id="rId8" w:history="1">
        <w:r w:rsidR="008E3119" w:rsidRPr="008E3119">
          <w:rPr>
            <w:rFonts w:ascii="Arial" w:hAnsi="Arial" w:cs="Arial"/>
            <w:color w:val="0000FF"/>
            <w:sz w:val="24"/>
            <w:szCs w:val="24"/>
            <w:u w:val="single"/>
          </w:rPr>
          <w:t>Home - National Wellbeing Hub for those working in Health and Social Care</w:t>
        </w:r>
      </w:hyperlink>
    </w:p>
    <w:p w:rsidR="008E3119" w:rsidRDefault="008E3119" w:rsidP="00536081">
      <w:pPr>
        <w:rPr>
          <w:rFonts w:ascii="Arial" w:hAnsi="Arial" w:cs="Arial"/>
          <w:b/>
          <w:sz w:val="24"/>
          <w:szCs w:val="24"/>
          <w:u w:val="single"/>
        </w:rPr>
      </w:pPr>
      <w:r>
        <w:rPr>
          <w:rFonts w:ascii="Arial" w:hAnsi="Arial" w:cs="Arial"/>
          <w:b/>
          <w:sz w:val="24"/>
          <w:szCs w:val="24"/>
          <w:u w:val="single"/>
        </w:rPr>
        <w:t xml:space="preserve">Financial support for social care providers </w:t>
      </w:r>
    </w:p>
    <w:p w:rsidR="008E3119" w:rsidRPr="008E3119" w:rsidRDefault="00D962D4" w:rsidP="00536081">
      <w:pPr>
        <w:rPr>
          <w:rFonts w:ascii="Arial" w:hAnsi="Arial" w:cs="Arial"/>
          <w:b/>
          <w:sz w:val="24"/>
          <w:szCs w:val="24"/>
          <w:u w:val="single"/>
        </w:rPr>
      </w:pPr>
      <w:hyperlink r:id="rId9" w:history="1">
        <w:r w:rsidR="008E3119" w:rsidRPr="008E3119">
          <w:rPr>
            <w:rFonts w:ascii="Arial" w:hAnsi="Arial" w:cs="Arial"/>
            <w:color w:val="0000FF"/>
            <w:sz w:val="24"/>
            <w:szCs w:val="24"/>
            <w:u w:val="single"/>
          </w:rPr>
          <w:t>Financial+Support+for+Social+Care+Providers+Guidance+-+Version+6.3.pdf (www.gov.scot)</w:t>
        </w:r>
      </w:hyperlink>
    </w:p>
    <w:p w:rsidR="00536081" w:rsidRPr="00536081" w:rsidRDefault="00536081" w:rsidP="00536081">
      <w:pPr>
        <w:rPr>
          <w:rFonts w:ascii="Arial" w:hAnsi="Arial" w:cs="Arial"/>
          <w:b/>
          <w:sz w:val="24"/>
          <w:szCs w:val="24"/>
          <w:u w:val="single"/>
        </w:rPr>
      </w:pPr>
      <w:r>
        <w:rPr>
          <w:rFonts w:ascii="Arial" w:hAnsi="Arial" w:cs="Arial"/>
          <w:b/>
          <w:sz w:val="24"/>
          <w:szCs w:val="24"/>
          <w:u w:val="single"/>
        </w:rPr>
        <w:t xml:space="preserve">Scottish Government – latest information on COVID. </w:t>
      </w:r>
    </w:p>
    <w:p w:rsidR="00536081" w:rsidRPr="00536081" w:rsidRDefault="00D962D4" w:rsidP="00536081">
      <w:pPr>
        <w:rPr>
          <w:rFonts w:ascii="Arial" w:hAnsi="Arial" w:cs="Arial"/>
          <w:color w:val="0000FF"/>
          <w:sz w:val="24"/>
          <w:szCs w:val="24"/>
          <w:u w:val="single"/>
        </w:rPr>
      </w:pPr>
      <w:hyperlink r:id="rId10" w:history="1">
        <w:r w:rsidR="00536081" w:rsidRPr="00536081">
          <w:rPr>
            <w:rFonts w:ascii="Arial" w:hAnsi="Arial" w:cs="Arial"/>
            <w:color w:val="0000FF"/>
            <w:sz w:val="24"/>
            <w:szCs w:val="24"/>
            <w:u w:val="single"/>
          </w:rPr>
          <w:t>Coronavirus in Scotland - gov.scot (www.gov.scot)</w:t>
        </w:r>
      </w:hyperlink>
    </w:p>
    <w:sectPr w:rsidR="00536081" w:rsidRPr="00536081" w:rsidSect="00DD67B7">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7B7" w:rsidRDefault="00DD67B7" w:rsidP="00DD67B7">
      <w:pPr>
        <w:spacing w:after="0" w:line="240" w:lineRule="auto"/>
      </w:pPr>
      <w:r>
        <w:separator/>
      </w:r>
    </w:p>
  </w:endnote>
  <w:endnote w:type="continuationSeparator" w:id="0">
    <w:p w:rsidR="00DD67B7" w:rsidRDefault="00DD67B7" w:rsidP="00DD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7B7" w:rsidRDefault="00DD67B7" w:rsidP="00DD67B7">
      <w:pPr>
        <w:spacing w:after="0" w:line="240" w:lineRule="auto"/>
      </w:pPr>
      <w:r>
        <w:separator/>
      </w:r>
    </w:p>
  </w:footnote>
  <w:footnote w:type="continuationSeparator" w:id="0">
    <w:p w:rsidR="00DD67B7" w:rsidRDefault="00DD67B7" w:rsidP="00DD6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B7" w:rsidRDefault="00DD67B7">
    <w:pPr>
      <w:pStyle w:val="Header"/>
    </w:pPr>
    <w:r>
      <w:rPr>
        <w:rFonts w:ascii="Arial" w:hAnsi="Arial" w:cs="Arial"/>
        <w:b/>
      </w:rPr>
      <w:t>An overview of current routine, asymptomatic testing and testing status from 17th April.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B7"/>
    <w:rsid w:val="00536081"/>
    <w:rsid w:val="008E3119"/>
    <w:rsid w:val="00AA2CE7"/>
    <w:rsid w:val="00BA1D10"/>
    <w:rsid w:val="00D962D4"/>
    <w:rsid w:val="00DD6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06C9E-FA05-4EDD-A843-1D31761B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7B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7B7"/>
  </w:style>
  <w:style w:type="paragraph" w:styleId="Footer">
    <w:name w:val="footer"/>
    <w:basedOn w:val="Normal"/>
    <w:link w:val="FooterChar"/>
    <w:uiPriority w:val="99"/>
    <w:unhideWhenUsed/>
    <w:rsid w:val="00DD6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7B7"/>
  </w:style>
  <w:style w:type="character" w:styleId="Hyperlink">
    <w:name w:val="Hyperlink"/>
    <w:basedOn w:val="DefaultParagraphFont"/>
    <w:uiPriority w:val="99"/>
    <w:semiHidden/>
    <w:unhideWhenUsed/>
    <w:rsid w:val="00AA2CE7"/>
    <w:rPr>
      <w:color w:val="0000FF"/>
      <w:u w:val="single"/>
    </w:rPr>
  </w:style>
  <w:style w:type="character" w:styleId="FollowedHyperlink">
    <w:name w:val="FollowedHyperlink"/>
    <w:basedOn w:val="DefaultParagraphFont"/>
    <w:uiPriority w:val="99"/>
    <w:semiHidden/>
    <w:unhideWhenUsed/>
    <w:rsid w:val="00536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beinghub.sco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hd.scot.nhs.uk/dl/DL(2022)0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inform.scot/illnesses-and-conditions/infections-and-poisoning/coronavirus-covid-19/test-and-protect/coronavirus-covid-19-get-a-test-if-you-have-symptom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ov.scot/coronavirus-covid-19/" TargetMode="External"/><Relationship Id="rId4" Type="http://schemas.openxmlformats.org/officeDocument/2006/relationships/footnotes" Target="footnotes.xml"/><Relationship Id="rId9" Type="http://schemas.openxmlformats.org/officeDocument/2006/relationships/hyperlink" Target="https://www.gov.scot/binaries/content/documents/govscot/publications/advice-and-guidance/2020/12/coronavirus-covid-19-financial-support-arrangements-for-social-care-providers/documents/coronavirus-covid-19-financial-support-arrangements-for-social-care-providers---pdf-version/coronavirus-covid-19-financial-support-arrangements-for-social-care-providers---pdf-version/govscot%3Adocument/Financial%2BSupport%2Bfor%2BSocial%2BCare%2BProviders%2BGuidance%2B-%2BVersion%2B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C (Christine)</dc:creator>
  <cp:keywords/>
  <dc:description/>
  <cp:lastModifiedBy>Martin C (Caroline Maria)</cp:lastModifiedBy>
  <cp:revision>2</cp:revision>
  <dcterms:created xsi:type="dcterms:W3CDTF">2022-03-23T16:22:00Z</dcterms:created>
  <dcterms:modified xsi:type="dcterms:W3CDTF">2022-03-23T16:22:00Z</dcterms:modified>
</cp:coreProperties>
</file>